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Progettazione e realizzazione opere pubbliche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Redazione cronoprogramma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Papi Silvia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Iamiceli Michele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Dott. Mugnai Marco </w:t>
            </w:r>
          </w:p>
          <w:p>
            <w:pPr>
              <w:jc w:val="both"/>
            </w:pPr>
            <w:r>
              <w:rPr>
                <w:sz w:val="22"/>
                <w:szCs w:val="22"/>
              </w:rPr>
              <w:t xml:space="preserve">sig.ra Bigi Sabrina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 Magini Gianluca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Redazione cronoprogramma.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