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 e commissioni consiliari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Contrazione dei mutui non previsti espressamente in atti fondamentali del Consiglio Comunale ed emissione dei prestiti obbligazionari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Cecoro Federico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Contrazione dei mutui non previsti espressamente in atti fondamentali del Consiglio Comunale ed emissione dei prestiti obbligazionari.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